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Personnel</w:t>
      </w:r>
    </w:p>
    <w:p>
      <w:pPr>
        <w:jc w:val="both"/>
        <w:spacing w:before="100" w:after="100"/>
        <w:ind w:start="360"/>
        <w:ind w:firstLine="360"/>
      </w:pPr>
      <w:r>
        <w:rPr/>
      </w:r>
      <w:r>
        <w:rPr/>
      </w:r>
      <w:r>
        <w:t xml:space="preserve">The State Court Administrator shall employ and shall supervise a professionally trained person, who is designated the State Court Library Supervisor. The supervisor has general supervision of the professional functions of all county law libraries and shall visit all libraries whenever necessary, meet with county law library committees, coordinate activities with the court administrator's offices, advise staff members of the clerks of courts and carry out any additional duties assigned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w:pPr>
        <w:jc w:val="both"/>
        <w:spacing w:before="100" w:after="100"/>
        <w:ind w:start="360"/>
        <w:ind w:firstLine="360"/>
      </w:pPr>
      <w:r>
        <w:rPr/>
      </w:r>
      <w:r>
        <w:rPr/>
      </w:r>
      <w:r>
        <w:t xml:space="preserve">The law libraries in locations without employees are maintained by the offices of the clerks of courts and the duties of each clerk's office are specified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