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Duties, county committee</w:t>
      </w:r>
    </w:p>
    <w:p>
      <w:pPr>
        <w:jc w:val="both"/>
        <w:spacing w:before="100" w:after="100"/>
        <w:ind w:start="360"/>
        <w:ind w:firstLine="360"/>
      </w:pPr>
      <w:r>
        <w:rPr/>
      </w:r>
      <w:r>
        <w:rPr/>
      </w:r>
      <w:r>
        <w:t xml:space="preserve">The County Law Library Committee shall establish local operating policies, such as, but not limited to, hours, circulation policies and photocopy privileges. Each county committee shall exercise supervision over the expenditures of private and nonstate funds, including endowments, and may use those funds to upgrade its county law library.  Each county committee shall determine space requirements.</w:t>
      </w:r>
      <w:r>
        <w:t xml:space="preserve">  </w:t>
      </w:r>
      <w:r xmlns:wp="http://schemas.openxmlformats.org/drawingml/2010/wordprocessingDrawing" xmlns:w15="http://schemas.microsoft.com/office/word/2012/wordml">
        <w:rPr>
          <w:rFonts w:ascii="Arial" w:hAnsi="Arial" w:cs="Arial"/>
          <w:sz w:val="22"/>
          <w:szCs w:val="22"/>
        </w:rPr>
        <w:t xml:space="preserve">[PL 2013, c. 533,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§4 (AMD). PL 2013, c. 533,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 Duties, county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Duties, county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§196. DUTIES, COUNTY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