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Sessions</w:t>
      </w:r>
    </w:p>
    <w:p>
      <w:pPr>
        <w:jc w:val="both"/>
        <w:spacing w:before="100" w:after="100"/>
        <w:ind w:start="360"/>
        <w:ind w:firstLine="360"/>
      </w:pPr>
      <w:r>
        <w:rPr/>
      </w:r>
      <w:r>
        <w:rPr/>
      </w:r>
      <w:r>
        <w:t xml:space="preserve">For the purpose of appellate review by the Supreme Judicial Court sitting as a law court, the State shall constitute one district. The number of sessions of the law court in each year and the method of determining the time and place thereof shall be in accordance with rules promulgated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1969, c. 354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 Sessions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Sessions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§53. SESSIONS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