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Attorneys from other states</w:t>
      </w:r>
    </w:p>
    <w:p>
      <w:pPr>
        <w:jc w:val="both"/>
        <w:spacing w:before="100" w:after="100"/>
        <w:ind w:start="360"/>
        <w:ind w:firstLine="360"/>
      </w:pPr>
      <w:r>
        <w:rPr/>
      </w:r>
      <w:r>
        <w:rPr/>
      </w:r>
      <w:r>
        <w:t xml:space="preserve">Attorneys who are practicing law in other states, territories or foreign countries may be admitted on motion to try cases in any of the courts of this State by those courts, but shall not be admitted to the general practice of law in this State without complying with </w:t>
      </w:r>
      <w:r>
        <w:t>section 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§1 (AMD). PL 1971, c. 286, §1 (RPR). PL 1973, c. 550, §1 (AMD). PL 1985, c. 124,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Attorneys from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Attorneys from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§802. ATTORNEYS FROM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