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MAINE CRIMINAL JUSTICE COMMISSION</w:t>
      </w:r>
    </w:p>
    <w:p>
      <w:pPr>
        <w:jc w:val="center"/>
        <w:ind w:start="360"/>
        <w:spacing w:before="300" w:after="300"/>
      </w:pPr>
      <w:r>
        <w:rPr>
          <w:b/>
        </w:rPr>
        <w:t>(REPEALED)</w:t>
      </w:r>
    </w:p>
    <w:p>
      <w:pPr>
        <w:jc w:val="both"/>
        <w:spacing w:before="100" w:after="100"/>
        <w:ind w:start="1080" w:hanging="720"/>
      </w:pPr>
      <w:r>
        <w:rPr>
          <w:b/>
        </w:rPr>
        <w:t>§</w:t>
        <w:t>3358</w:t>
        <w:t xml:space="preserve">.  </w:t>
      </w:r>
      <w:r>
        <w:rPr>
          <w:b/>
        </w:rPr>
        <w:t xml:space="preserve">Maine Criminal Justice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417, §1 (NEW). PL 1993, c. 349, §9 (AMD). PL 1993, c. 736, §1 (AMD). PL 1997, c. 134, §7 (AMD). PL 2009, c. 213, Pt. Q, §1 (RP). PL 2009, c. 369,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316. MAINE CRIMINAL JUSTICE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MAINE CRIMINAL JUSTICE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 MAINE CRIMINAL JUSTICE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