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439</w:t>
      </w:r>
    </w:p>
    <w:p>
      <w:pPr>
        <w:jc w:val="center"/>
        <w:ind w:start="360"/>
        <w:spacing w:before="300" w:after="300"/>
      </w:pPr>
      <w:r>
        <w:rPr>
          <w:b/>
        </w:rPr>
        <w:t xml:space="preserve">CHILDREN'S CABINET</w:t>
      </w:r>
    </w:p>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439.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