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center"/>
        <w:ind w:start="360"/>
        <w:spacing w:before="300" w:after="300"/>
      </w:pPr>
      <w:r>
        <w:rPr>
          <w:b/>
        </w:rPr>
        <w:t>(REPEALED)</w:t>
      </w:r>
    </w:p>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17003</w:t>
        <w:t xml:space="preserve">.  </w:t>
      </w:r>
      <w:r>
        <w:rPr>
          <w:b/>
        </w:rPr>
        <w:t xml:space="preserve">Confidentiality of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283 (AMD). PL 1987, c. 402, §A63 (RP). PL 1987, c. 443, §1 (RP). PL 1987, c. 769, §A27 (RP). </w:t>
      </w:r>
    </w:p>
    <w:p>
      <w:pPr>
        <w:jc w:val="both"/>
        <w:spacing w:before="100" w:after="100"/>
        <w:ind w:start="1080" w:hanging="720"/>
      </w:pPr>
      <w:r>
        <w:rPr>
          <w:b/>
        </w:rPr>
        <w:t>§</w:t>
        <w:t>17004</w:t>
        <w:t xml:space="preserve">.  </w:t>
      </w:r>
      <w:r>
        <w:rPr>
          <w:b/>
        </w:rPr>
        <w:t xml:space="preserve">Restrictions upon revealing HTLV-III antibody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309 (AMD). PL 1987, c. 402, §A63 (RP). PL 1987, c. 443, §1 (RP). PL 1987, c. 769, §A28 (RP). </w:t>
      </w:r>
    </w:p>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