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w:t>
        <w:t xml:space="preserve">.  </w:t>
      </w:r>
      <w:r>
        <w:rPr>
          <w:b/>
        </w:rPr>
        <w:t xml:space="preserve">Publications</w:t>
      </w:r>
    </w:p>
    <w:p>
      <w:pPr>
        <w:jc w:val="both"/>
        <w:spacing w:before="100" w:after="0"/>
        <w:ind w:start="360"/>
        <w:ind w:firstLine="360"/>
      </w:pPr>
      <w:r>
        <w:rPr>
          <w:b/>
        </w:rPr>
        <w:t>1</w:t>
        <w:t xml:space="preserve">.  </w:t>
      </w:r>
      <w:r>
        <w:rPr>
          <w:b/>
        </w:rPr>
        <w:t xml:space="preserve">Fee for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those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Use of fees.</w:t>
        <w:t xml:space="preserve"> </w:t>
      </w:r>
      <w:r>
        <w:t xml:space="preserve"> </w:t>
      </w:r>
      <w:r>
        <w:t xml:space="preserve">Fees collected pursuant to this section must be deposited in a fund for use by the Secretary of State to replace and update publications offered in accordance with this chapter and to fund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