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13080-C</w:t>
        <w:t xml:space="preserve">.  </w:t>
      </w:r>
      <w:r>
        <w:rPr>
          <w:b/>
        </w:rPr>
        <w:t xml:space="preserve">Use of operating revenues</w:t>
      </w:r>
    </w:p>
    <w:p>
      <w:pPr>
        <w:jc w:val="both"/>
        <w:spacing w:before="100" w:after="0"/>
        <w:ind w:start="360"/>
        <w:ind w:firstLine="360"/>
      </w:pPr>
      <w:r>
        <w:rPr>
          <w:b/>
        </w:rPr>
        <w:t>1</w:t>
        <w:t xml:space="preserve">.  </w:t>
      </w:r>
      <w:r>
        <w:rPr>
          <w:b/>
        </w:rPr>
        <w:t xml:space="preserve">Use of revenue.</w:t>
        <w:t xml:space="preserve"> </w:t>
      </w:r>
      <w:r>
        <w:t xml:space="preserve"> </w:t>
      </w:r>
      <w:r>
        <w:t xml:space="preserve">Operating revenue generated from property transferred in the Federal Aviation Administration public benefit transfer or otherwise generated by the airport must be used to support the development, maintenance and operation of aeronautical facilities, operating costs of the airport and costs substantially related to the actual air transportation of passengers or property.  Revenues generated from other properties granted to the authority in subsequent or different transfers must be used as the authority determines appropriate within the powers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§5 (RPR).]</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§13080-C.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§13080-C.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§13080-C.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