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13090-K</w:t>
        <w:t xml:space="preserve">.  </w:t>
      </w:r>
      <w:r>
        <w:rPr>
          <w:b/>
        </w:rPr>
        <w:t xml:space="preserve">Tourism Marketing Promotion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Tourism Marketing Promotion Fund is established in the Department of Economic and Community Development, Office of Tourism as a nonlapsing dedicated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UUUU, §1 (NEW).]</w:t>
      </w:r>
    </w:p>
    <w:p>
      <w:pPr>
        <w:jc w:val="both"/>
        <w:spacing w:before="100" w:after="0"/>
        <w:ind w:start="360"/>
        <w:ind w:firstLine="360"/>
      </w:pPr>
      <w:r>
        <w:rPr>
          <w:b/>
        </w:rPr>
        <w:t>2</w:t>
        <w:t xml:space="preserve">.  </w:t>
      </w:r>
      <w:r>
        <w:rPr>
          <w:b/>
        </w:rPr>
        <w:t xml:space="preserve">Source of fund.</w:t>
        <w:t xml:space="preserve"> </w:t>
      </w:r>
      <w:r>
        <w:t xml:space="preserve"> </w:t>
      </w:r>
      <w:r>
        <w:t xml:space="preserve">Beginning July 1, 2003 and every July 1st thereafter, the State Controller shall transfer to the Tourism Marketing Promotion Fund an amount, as certified by the State Tax Assessor, that is equivalent to 5% of the 7% tax imposed on tangible personal property and taxable services pursuant to </w:t>
      </w:r>
      <w:r>
        <w:t>Title 36, section 1811</w:t>
      </w:r>
      <w:r>
        <w:t xml:space="preserve">, for the first 6 months of the prior fiscal year after the reduction for the transfer to the Local Government Fund as described by </w:t>
      </w:r>
      <w:r>
        <w:t>Title 30‑A, section 5681, subsection 5</w:t>
      </w:r>
      <w:r>
        <w:t xml:space="preserve">, except that, from October 1, 2013 to December 31, 2015, the amount is equivalent to 5% of the 8% tax imposed on tangible personal property and taxable services pursuant to </w:t>
      </w:r>
      <w:r>
        <w:t>Title 36, section 1811</w:t>
      </w:r>
      <w:r>
        <w:t xml:space="preserve"> and beginning July 1, 2016 the amount is equivalent to 5% of the 8% tax and 5% of the 9% tax imposed on tangible personal property and taxable services pursuant to </w:t>
      </w:r>
      <w:r>
        <w:t>Title 36, section 1811</w:t>
      </w:r>
      <w:r>
        <w:t xml:space="preserve">.  Beginning on October 1, 2003 and every October 1st thereafter, the State Controller shall transfer to the Tourism Marketing Promotion Fund an amount, as certified by the State Tax Assessor, that is equivalent to 5% of the 7% tax imposed on tangible personal property and taxable services pursuant to </w:t>
      </w:r>
      <w:r>
        <w:t>Title 36, section 1811</w:t>
      </w:r>
      <w:r>
        <w:t xml:space="preserve">, for the last 6 months of the prior fiscal year after the reduction for the transfer to the Local Government Fund, except that, from October 1, 2013 to December 31, 2015, the amount is equivalent to 5% of the 8% tax imposed on tangible personal property and taxable services pursuant to </w:t>
      </w:r>
      <w:r>
        <w:t>Title 36, section 1811</w:t>
      </w:r>
      <w:r>
        <w:t xml:space="preserve"> and beginning October 1, 2016 the amount is equivalent to 5% of the 8% tax and 5% of the 9% tax imposed on tangible personal property and taxable services pursuant to </w:t>
      </w:r>
      <w:r>
        <w:t>Title 36, section 1811</w:t>
      </w:r>
      <w:r>
        <w:t xml:space="preserve">.  The tax amount must be based on actual sales for that fiscal year and may not consider any accruals that may be required by law.  The amount transferred from General Fund sales and use tax revenues does not affect the calculation for the transfer to the Local Government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267, Pt. OOOO, §1 (AMD); PL 2015, c. 267, Pt. OOOO, §7 (AFF).]</w:t>
      </w:r>
    </w:p>
    <w:p>
      <w:pPr>
        <w:jc w:val="both"/>
        <w:spacing w:before="100" w:after="0"/>
        <w:ind w:start="360"/>
        <w:ind w:firstLine="360"/>
      </w:pPr>
      <w:r>
        <w:rPr>
          <w:b/>
        </w:rPr>
        <w:t>3</w:t>
        <w:t xml:space="preserve">.  </w:t>
      </w:r>
      <w:r>
        <w:rPr>
          <w:b/>
        </w:rPr>
        <w:t xml:space="preserve">Restrictions.</w:t>
        <w:t xml:space="preserve"> </w:t>
      </w:r>
      <w:r>
        <w:t xml:space="preserve"> </w:t>
      </w:r>
      <w:r>
        <w:t xml:space="preserve">A minimum of 10% of the funds received by the Tourism Marketing Promotion Fund in accordance with </w:t>
      </w:r>
      <w:r>
        <w:t>subsection 2</w:t>
      </w:r>
      <w:r>
        <w:t xml:space="preserve"> must be used for regional marketing promotion and regional special events promotion.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UUUU,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§UUUU1 (NEW). PL 2013, c. 368, Pt. M, §1 (AMD). PL 2015, c. 267, Pt. OOOO, §1 (AMD). PL 2015, c. 267, Pt. OOOO, §7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§13090-K. Tourism Marketing Promotion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§13090-K. Tourism Marketing Promotion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§13090-K. TOURISM MARKETING PROMOTION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