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§13100. SMALL BUSINESS AND ENTREPRENEURSHIP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