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13110-A</w:t>
        <w:t xml:space="preserve">.  </w:t>
      </w:r>
      <w:r>
        <w:rPr>
          <w:b/>
        </w:rPr>
        <w:t xml:space="preserve">Maine EPSCoR Capacity Fund</w:t>
      </w:r>
    </w:p>
    <w:p>
      <w:pPr>
        <w:jc w:val="both"/>
        <w:spacing w:before="100" w:after="100"/>
        <w:ind w:start="360"/>
        <w:ind w:firstLine="360"/>
      </w:pPr>
      <w:r>
        <w:rPr/>
      </w:r>
      <w:r>
        <w:rPr/>
      </w:r>
      <w:r>
        <w:t xml:space="preserve">The Maine EPSCoR Capacity Fund is established within the office to provide the matching funds that are required by several federal agencies in their EPSCoR activities.  The fund must be used to match EPSCoR awards, and is a nonlapsing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Maine EPSCoR Capacity Fund account within the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"Match" means the cash commitment required from the State as defined by a federal funding agency.  Match requirements vary among federal agencies.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"Research capacity committee" means the Governor's Maine Science and Technology Advisory Council referred to in </w:t>
      </w:r>
      <w:r>
        <w:t>section 13110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K,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K, §3 (AMD).]</w:t>
      </w:r>
    </w:p>
    <w:p>
      <w:pPr>
        <w:jc w:val="both"/>
        <w:spacing w:before="100" w:after="0"/>
        <w:ind w:start="360"/>
        <w:ind w:firstLine="360"/>
      </w:pPr>
      <w:r>
        <w:rPr>
          <w:b/>
        </w:rPr>
        <w:t>2</w:t>
        <w:t xml:space="preserve">.  </w:t>
      </w:r>
      <w:r>
        <w:rPr>
          <w:b/>
        </w:rPr>
        <w:t xml:space="preserve">Organization.</w:t>
        <w:t xml:space="preserve"> </w:t>
      </w:r>
      <w:r>
        <w:t xml:space="preserve"> </w:t>
      </w:r>
      <w:r>
        <w:t xml:space="preserve">The commissioner, at the commissioner's discretion, may delegate the administration of the fund to the director of the office.  The research capacity committee shall advise the commissioner or the director of the office on the use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w:pPr>
        <w:jc w:val="both"/>
        <w:spacing w:before="100" w:after="0"/>
        <w:ind w:start="360"/>
        <w:ind w:firstLine="360"/>
      </w:pPr>
      <w:r>
        <w:rPr>
          <w:b/>
        </w:rPr>
        <w:t>3</w:t>
        <w:t xml:space="preserve">.  </w:t>
      </w:r>
      <w:r>
        <w:rPr>
          <w:b/>
        </w:rPr>
        <w:t xml:space="preserve">Guidelines.</w:t>
        <w:t xml:space="preserve"> </w:t>
      </w:r>
      <w:r>
        <w:t xml:space="preserve"> </w:t>
      </w:r>
      <w:r>
        <w:t xml:space="preserve">The commissioner or the director of the office, with the advice of the research capacity committee, shall establish guidelines for cash and in-kind match requirements based on the activities to be supported with the fund. Match levels must reflect the requirements identified by federal funding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240, Pt. K,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§13110-A. Maine EPSCoR Capacity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§13110-A. Maine EPSCoR Capacity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§13110-A. MAINE EPSCOR CAPACITY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