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13120-I</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authority may provide by resolution for the issuance of bonds for the purpose of funding the Speculative Industrial Buildings Fund, or any successor to the fund, for the construction of proposed commercial facilities and improvement of existing or acquired commercial facilities and for the fulfillment of other undertakings that it may assume.  The bonds of the authority do not constitute a debt of the State or of any agency or political subdivision of the State but are payable solely from the revenue of the authority, and neither the faith nor credit nor taxing power of the State or any political subdivision of the State is pledged to payment of the bonds.  Notwithstanding any other provision of law, any bonds issued pursuant to this subchapter are fully negotiable.  If any member of the board of trustees whose signature appears on the bond or coupons ceases to be a member of the board of trustees before the delivery of those bonds, that signature is valid and sufficient for all purposes as if that member of the board of trustees had remained a member of the board of trustees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§14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form and denomination of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Interest rates on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N</w:t>
        <w:t xml:space="preserve">.  </w:t>
      </w:r>
      <w:r>
        <w:rPr/>
      </w:r>
      <w:r>
        <w:t xml:space="preserve">For covenants against pledging of any of the revenue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O</w:t>
        <w:t xml:space="preserve">.  </w:t>
      </w:r>
      <w:r>
        <w:rPr/>
      </w:r>
      <w:r>
        <w:t xml:space="preserve">For covenants fixing and establishing rates and charges for use of the authority's facilities and services made available so as to provide funds that will be sufficient to pay all costs of operation and maintenance, to meet and pay the principal and interest of all bonds as they severally become due and payable, for the creating of such revenues for the principal and interest of all bonds and for the meeting of contingencies and the operation and maintenance of its facilities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P</w:t>
        <w:t xml:space="preserve">.  </w:t>
      </w:r>
      <w:r>
        <w:rPr/>
      </w:r>
      <w:r>
        <w:t xml:space="preserve">For such other covenants as to rates and charges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T</w:t>
        <w:t xml:space="preserve">.  </w:t>
      </w:r>
      <w:r>
        <w:rPr/>
      </w:r>
      <w:r>
        <w:t xml:space="preserve">For the issuance of bonds in series;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U</w:t>
        <w:t xml:space="preserve">.  </w:t>
      </w:r>
      <w:r>
        <w:rPr/>
      </w:r>
      <w:r>
        <w:t xml:space="preserve">For the performance of any and all acts as may be in the discretion of the board of trustees necessary, convenient or desirable to secure bonds or that tend to make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V</w:t>
        <w:t xml:space="preserve">.  </w:t>
      </w:r>
      <w:r>
        <w:rPr/>
      </w:r>
      <w:r>
        <w:t xml:space="preserve">For the issuance of bonds on terms and conditions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loans to municipalities or local development corporations for speculative industrial buildings, for the construction of proposed commercial facilities and improvement of existing or acquired commercial facilities and for the fulfillment of other undertakings that are within the power of the authority.  There is created a lien upon the money until so applied in favor of the bondholders or any member of the board of trustees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§15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board of trustees, bonds may be secured by a trust indenture by and between the authority and a corporate trustee, which may be any trust company or bank having the powers of a trust company, located either within or outside the State.  Such a trust indenture may pledge or assign the revenues of the authority or any part of it.  Any trust indenture may set forth the rights and remedies of the bondholders and the trustee, restrict the individual right of action of bondholders and contain such other provisions as the board of trustees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bonds of the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authority may issue revenue refunding bonds for the purpose of refunding revenue bonds issued under this subchapter.  The issuance of any refunding bonds is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insuring that the operation by the trustees be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§4 (AMD). PL 2005, c. 425,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§13120-I.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§13120-I.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§13120-I.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