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13120-J</w:t>
        <w:t xml:space="preserve">.  </w:t>
      </w:r>
      <w:r>
        <w:rPr>
          <w:b/>
        </w:rPr>
        <w:t xml:space="preserve">Interest of trustee or employee</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member of the board of trustees or employee of the authority may not acquire or hold a direct or an indirect personal financial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Property or facilities included, planned to be included or expected to directly benefit from an authority activity;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When an acquisition is involuntary, the interest acquired must be disclosed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§16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member of the board of trustees or employee of the authority presently owns or controls, or owned or controlled within the preceding 2 years, a direct or an indirect interest in property known to be included or planned to be included in an authority activity, that member or employee shall disclose this fact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Recusal.</w:t>
        <w:t xml:space="preserve"> </w:t>
      </w:r>
      <w:r>
        <w:t xml:space="preserve"> </w:t>
      </w:r>
      <w:r>
        <w:t xml:space="preserve">A member of the board of trustees or employee of the authority with an interest under </w:t>
      </w:r>
      <w:r>
        <w:t>subsection 2</w:t>
      </w:r>
      <w:r>
        <w:t xml:space="preserve">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§13120-J. Interest of trustee or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§13120-J. Interest of trustee or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§13120-J. INTEREST OF TRUSTEE OR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