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13204</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revenues.</w:t>
        <w:t xml:space="preserve"> </w:t>
      </w:r>
      <w:r>
        <w:t xml:space="preserve"> </w:t>
      </w:r>
      <w:r>
        <w:t xml:space="preserve">Operating revenues must be used principally to reinvest in the properties held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the provisions of this chapter must be paid solely from funds provided by the corporation, and liability or obligation may not be incurred under this chapter beyond the extent to which funds have been provided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corporation construction and reconstruction projects must be equal opportunity employers and, for contracts of more than $250,000, shall pursue in good faith affirmative action programs as defined in </w:t>
      </w:r>
      <w:r>
        <w:t>section 782</w:t>
      </w:r>
      <w:r>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§13204. Use of operating revenues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§13204. Use of operating revenues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§13204. USE OF OPERATING REVENUES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