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Uniform fiscal year</w:t>
      </w:r>
    </w:p>
    <w:p>
      <w:pPr>
        <w:jc w:val="both"/>
        <w:spacing w:before="100" w:after="100"/>
        <w:ind w:start="360"/>
        <w:ind w:firstLine="360"/>
      </w:pPr>
      <w:r>
        <w:rPr/>
      </w:r>
      <w:r>
        <w:rPr/>
      </w:r>
      <w:r>
        <w:t xml:space="preserve">The fiscal year of the State Government shall commence on the first day of July and end on the 30th day of June each year. The fiscal year shall be followed in making appropriations and in financial reporting, and shall be uniformly adopted by all departments and agencies of the State Government.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§1501. Uniform fiscal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Uniform fiscal year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§1501. UNIFORM FISCAL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