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State funds eliminated</w:t>
      </w:r>
    </w:p>
    <w:p>
      <w:pPr>
        <w:jc w:val="both"/>
        <w:spacing w:before="100" w:after="100"/>
        <w:ind w:start="360"/>
        <w:ind w:firstLine="360"/>
      </w:pPr>
      <w:r>
        <w:rPr/>
      </w:r>
      <w:r>
        <w:rPr/>
      </w:r>
      <w:r>
        <w:t xml:space="preserve">Unless the Legislature otherwise directs, the Commissioner of Administrative and Financial Services, with the approval of the Governor, has authority to discontinue any or all special expendable state funds with the exception of the sinking funds and trust funds and to merge the balance or balances of such fund or funds so discontinued with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780, Pt. Y,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§68 (AMD). PL 1985, c. 785, §A51 (AMD). PL 1991, c. 780, §Y41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§1508. State funds eliminated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State funds eliminated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§1508. STATE FUNDS ELIMINATED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