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Application to legislative branch</w:t>
      </w:r>
    </w:p>
    <w:p>
      <w:pPr>
        <w:jc w:val="both"/>
        <w:spacing w:before="100" w:after="100"/>
        <w:ind w:start="360"/>
        <w:ind w:firstLine="360"/>
      </w:pPr>
      <w:r>
        <w:rPr/>
      </w:r>
      <w:r>
        <w:rPr/>
      </w:r>
      <w:r>
        <w:t xml:space="preserve">Unless the language in this Part specifically states that it applies to the legislative branch, the legislative branch may not be required to comply with the provisions of this Part unless determined relevant and applicable by the Legislative Council pursuant to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LL,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§LL2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§1521. Application to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Application to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§1521. APPLICATION TO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