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1548</w:t>
        <w:t xml:space="preserve">.  </w:t>
      </w:r>
      <w:r>
        <w:rPr>
          <w:b/>
        </w:rPr>
        <w:t xml:space="preserve">Claims and accounts against State or municipalities must be verified</w:t>
      </w:r>
    </w:p>
    <w:p>
      <w:pPr>
        <w:jc w:val="both"/>
        <w:spacing w:before="100" w:after="100"/>
        <w:ind w:start="360"/>
        <w:ind w:firstLine="360"/>
      </w:pPr>
      <w:r>
        <w:rPr/>
      </w:r>
      <w:r>
        <w:rPr/>
      </w:r>
      <w:r>
        <w:t xml:space="preserve">A person, presenting an account or claim against any town, village, corporation, city, county or the State for services rendered, articles furnished or expenses incurred, shall cause said account or claim to be verified by oath, if required by any person whose duty it is to audit the same. If said claimant refuses so to verify, his claim shall be rejected.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§1548. Claims and accounts against State or municipalities must be verified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§1548. Claims and accounts against State or municipalities must be verified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§1548. CLAIMS AND ACCOUNTS AGAINST STATE OR MUNICIPALITIES MUST BE VERIFIED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