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State liabilities</w:t>
      </w:r>
    </w:p>
    <w:p>
      <w:pPr>
        <w:jc w:val="both"/>
        <w:spacing w:before="100" w:after="100"/>
        <w:ind w:start="360"/>
        <w:ind w:firstLine="360"/>
      </w:pPr>
      <w:r>
        <w:rPr/>
      </w:r>
      <w:r>
        <w:rPr/>
      </w:r>
      <w:r>
        <w:t xml:space="preserve">By July 31st of each year, the Treasurer of State shall publish on the publicly accessible portion of the treasurer's website the latest information available regarding all liabilities of the State as of June 30th of that same year.  For purposes of this section, "liabilities of the State" includes all state debts, loans, bonds, unfunded liabilities and promises to pay, including issued and unissued bonds, pension liabilities, promises to provide health insurance in future years, Maine Governmental Facilities Authority bonds and any other debt or obligation that the State has guaranteed or promised to pay.  "Liabilities of the State" does not include state contracts for goods and services or vendor information.</w:t>
      </w:r>
      <w:r>
        <w:t xml:space="preserve">  </w:t>
      </w:r>
      <w:r xmlns:wp="http://schemas.openxmlformats.org/drawingml/2010/wordprocessingDrawing" xmlns:w15="http://schemas.microsoft.com/office/word/2012/wordml">
        <w:rPr>
          <w:rFonts w:ascii="Arial" w:hAnsi="Arial" w:cs="Arial"/>
          <w:sz w:val="22"/>
          <w:szCs w:val="22"/>
        </w:rPr>
        <w:t xml:space="preserve">[PL 2011,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State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State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 STATE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