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1667-A</w:t>
        <w:t xml:space="preserve">.  </w:t>
      </w:r>
      <w:r>
        <w:rPr>
          <w:b/>
        </w:rPr>
        <w:t xml:space="preserve">Access to budget management system data</w:t>
      </w:r>
    </w:p>
    <w:p>
      <w:pPr>
        <w:jc w:val="both"/>
        <w:spacing w:before="100" w:after="100"/>
        <w:ind w:start="360"/>
        <w:ind w:firstLine="360"/>
      </w:pPr>
      <w:r>
        <w:rPr/>
      </w:r>
      <w:r>
        <w:rPr/>
      </w:r>
      <w:r>
        <w:t xml:space="preserve">Notwithstanding any other provision of law, the State Budget Officer shall provide the Office of Fiscal and Program Review with electronic access, including report-writing capabilities, to those aspects of the budget management system presently referred to as the "budget analyst tool," except for those specific aspects of the system involved in budget recommendations that have been made or are being considered by the Governor or Governor-elect but have not yet been transmitted to the Legislature.  For purposes of this section, "budget management system" and "budget analyst tool" include information used by the Bureau of the Budget to develop, analyze and review budgeted and actual revenue and expenditure information.</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w:pPr>
        <w:jc w:val="both"/>
        <w:spacing w:before="100" w:after="100"/>
        <w:ind w:start="360"/>
        <w:ind w:firstLine="360"/>
      </w:pPr>
      <w:r>
        <w:rPr/>
      </w:r>
      <w:r>
        <w:rPr/>
      </w:r>
      <w:r>
        <w:t xml:space="preserve">Notwithstanding any other provision of law, the Legislative Council shall provide the Bureau of the Budget, upon the bureau's request, with enacted budget bills in a data processing form that permits the electronic conversion of data to the budget management system.</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§1667-A. Access to budget management system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§1667-A. Access to budget management system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§1667-A. ACCESS TO BUDGET MANAGEMENT SYSTEM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