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17061</w:t>
        <w:t xml:space="preserve">.  </w:t>
      </w:r>
      <w:r>
        <w:rPr>
          <w:b/>
        </w:rPr>
        <w:t xml:space="preserve">Termination of interest in retirement system</w:t>
      </w:r>
    </w:p>
    <w:p>
      <w:pPr>
        <w:jc w:val="both"/>
        <w:spacing w:before="100" w:after="100"/>
        <w:ind w:start="360"/>
        <w:ind w:firstLine="360"/>
      </w:pPr>
      <w:r>
        <w:rPr/>
      </w:r>
      <w:r>
        <w:rPr/>
      </w:r>
      <w:r>
        <w:t xml:space="preserve">The death of an alternate payee as defined in </w:t>
      </w:r>
      <w:r>
        <w:t>section 17001, subsection 3‑B</w:t>
      </w:r>
      <w:r>
        <w:t xml:space="preserve"> terminates the interest of the alternate payee in the retirement system.  This section does not affect an interest in the retirement system accrued to an individual as a member of a retirement program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PL 2007, c. 491,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§17061. Termination of interest in retirement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§17061. Termination of interest in retirement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§17061. TERMINATION OF INTEREST IN RETIREMENT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