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1710-E</w:t>
        <w:t xml:space="preserve">.  </w:t>
      </w:r>
      <w:r>
        <w:rPr>
          <w:b/>
        </w:rPr>
        <w:t xml:space="preserve">Revenue Forecasting Committee; established; membership</w:t>
      </w:r>
    </w:p>
    <w:p>
      <w:pPr>
        <w:jc w:val="both"/>
        <w:spacing w:before="100" w:after="100"/>
        <w:ind w:start="360"/>
        <w:ind w:firstLine="360"/>
      </w:pPr>
      <w:r>
        <w:rPr/>
      </w:r>
      <w:r>
        <w:rPr/>
      </w:r>
      <w:r>
        <w:t xml:space="preserve">There is established the Revenue Forecasting Committee, referred to in this chapter as the "committee," for the purpose of providing the Governor, the Legislature and the State Budget Officer with analyses, findings and recommendations relating to the projection of revenues for the General Fund and the Highway Fund based on economic assumptions recommended by the Consensus Economic Forecasting Commission.  The committee includes the State Budget Officer, the Associate Commissioner for Tax Policy, the State Economist, an economist on the faculty of the University of Maine System selected by the chancellor, the Director of the Office of Fiscal and Program Review and another member of the Legislature's nonpartisan staff familiar with revenue estimating issues appointed by the Legislative Council.    Beginning in calendar year 2019, the chair of the committee must be designated by a majority vote of the 6 members, from among the Associate Commissioner for Tax Policy, the Director of the Office of Fiscal and Program Review, the State Economist, an economist on the faculty of the University of Maine System selected by the chancellor and another member of the Legislature's nonpartisan staff familiar with revenue estimating issues appointed by the Legislative Council.  The chair must be designated on a rotating basis and serves a 2‑year term.</w:t>
      </w:r>
      <w:r>
        <w:t xml:space="preserve">  </w:t>
      </w:r>
      <w:r xmlns:wp="http://schemas.openxmlformats.org/drawingml/2010/wordprocessingDrawing" xmlns:w15="http://schemas.microsoft.com/office/word/2012/wordml">
        <w:rPr>
          <w:rFonts w:ascii="Arial" w:hAnsi="Arial" w:cs="Arial"/>
          <w:sz w:val="22"/>
          <w:szCs w:val="22"/>
        </w:rPr>
        <w:t xml:space="preserve">[PL 2019, c. 343, Pt. F,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§J1 (NEW). PL 1997, c. 655, §4 (AMD). PL 1999, c. 127, §A8 (AMD). PL 2001, c. 2, §1 (AMD). PL 2011, c. 655, Pt. I, §6 (AMD). PL 2011, c. 655, Pt. I, §11 (AFF). PL 2019, c. 343, Pt. F,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§1710-E. Revenue Forecasting Committee; established;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§1710-E. Revenue Forecasting Committee; established;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§1710-E. REVENUE FORECASTING COMMITTEE; ESTABLISHED;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