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1710-H</w:t>
        <w:t xml:space="preserve">.  </w:t>
      </w:r>
      <w:r>
        <w:rPr>
          <w:b/>
        </w:rPr>
        <w:t xml:space="preserve">Meetings</w:t>
      </w:r>
    </w:p>
    <w:p>
      <w:pPr>
        <w:jc w:val="both"/>
        <w:spacing w:before="100" w:after="100"/>
        <w:ind w:start="360"/>
        <w:ind w:firstLine="360"/>
      </w:pPr>
      <w:r>
        <w:rPr/>
      </w:r>
      <w:r>
        <w:rPr/>
      </w:r>
      <w:r>
        <w:t xml:space="preserve">The committee shall meet at least 3 times a year.  Additional meetings may be called by a majority vote of the committee or by the State Budget Officer as specified in </w:t>
      </w:r>
      <w:r>
        <w:t>section 1710‑G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N,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655, §6 (AMD). PL 2017, c. 284, Pt. N,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§1710-H.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§1710-H.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§1710-H.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