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17109</w:t>
        <w:t xml:space="preserve">.  </w:t>
      </w:r>
      <w:r>
        <w:rPr>
          <w:b/>
        </w:rPr>
        <w:t xml:space="preserve">Other counsel and assistance</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employ or contract for the services of persons or associations, other than those contracted with under </w:t>
      </w:r>
      <w:r>
        <w:t>section 17108</w:t>
      </w:r>
      <w:r>
        <w:t xml:space="preserve">, for investment counsel or advice and for other professional or other assistance, as may be necessary or appropriate to aid in carrying out the board's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incurred in employing or contracting with persons or associations under </w:t>
      </w:r>
      <w:r>
        <w:t>subsection 1</w:t>
      </w:r>
      <w:r>
        <w:t xml:space="preserve">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§17109. Other counsel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§17109. Other counsel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§17109. OTHER COUNSEL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