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1727-A</w:t>
        <w:t xml:space="preserve">.  </w:t>
      </w:r>
      <w:r>
        <w:rPr>
          <w:b/>
        </w:rPr>
        <w:t xml:space="preserve">Conflict of interest prohibited</w:t>
      </w:r>
    </w:p>
    <w:p>
      <w:pPr>
        <w:jc w:val="both"/>
        <w:spacing w:before="100" w:after="100"/>
        <w:ind w:start="360"/>
        <w:ind w:firstLine="360"/>
      </w:pPr>
      <w:r>
        <w:rPr/>
      </w:r>
      <w:r>
        <w:rPr/>
      </w:r>
      <w:r>
        <w:t xml:space="preserve">The State Controller or any employee of the division may not be financially interested, directly or indirectly, in any insurer, agency or insurance transaction, except as a policyholder or claimant under a policy, nor may the State Controller or any employee be licensed under </w:t>
      </w:r>
      <w:r>
        <w:t>Title 24‑A</w:t>
      </w:r>
      <w:r>
        <w:t xml:space="preserve">, as an agent, broker, consultant or adjuster.</w:t>
      </w:r>
      <w:r>
        <w:t xml:space="preserve">  </w:t>
      </w:r>
      <w:r xmlns:wp="http://schemas.openxmlformats.org/drawingml/2010/wordprocessingDrawing" xmlns:w15="http://schemas.microsoft.com/office/word/2012/wordml">
        <w:rPr>
          <w:rFonts w:ascii="Arial" w:hAnsi="Arial" w:cs="Arial"/>
          <w:sz w:val="22"/>
          <w:szCs w:val="22"/>
        </w:rPr>
        <w:t xml:space="preserve">[PL 2017, c. 284, Pt. O,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349, §7 (NEW). PL 2017, c. 284, Pt. O,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§1727-A. Conflict of interest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§1727-A. Conflict of interest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§1727-A. CONFLICT OF INTEREST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