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§17438. REPORTING REQUIREMENTS UNDER GOVERNMENTAL ACCOUNTING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