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Any person described in </w:t>
      </w:r>
      <w:r>
        <w:t>subsection 1</w:t>
      </w:r>
      <w:r>
        <w:t xml:space="preserve"> is entitled to all the rights and benefits which he could have accrued if he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§17658.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