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17711</w:t>
        <w:t xml:space="preserve">.  </w:t>
      </w:r>
      <w:r>
        <w:rPr>
          <w:b/>
        </w:rPr>
        <w:t xml:space="preserve">Forest rangers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forest ranger in the Department of Conservation, Bureau of Forestry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forest ranger has met the requirements for eligibility for retirement under </w:t>
      </w:r>
      <w:r>
        <w:t>section 17851,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w:pPr>
        <w:jc w:val="both"/>
        <w:spacing w:before="100" w:after="0"/>
        <w:ind w:start="720"/>
      </w:pPr>
      <w:r>
        <w:rPr/>
        <w:t>B</w:t>
        <w:t xml:space="preserve">.  </w:t>
      </w:r>
      <w:r>
        <w:rPr/>
      </w:r>
      <w:r>
        <w:t xml:space="preserve">After meeting the eligibility requirements for retirement, at a rate of 6.5% of earnable compensation for the remainder of the forest ranger's employment as a forest ranger.</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forest ranger in the Department of Agriculture, Conservation and Forestry, Bureau of Forestry who was first employed in that capacity after August 31, 1984 and who elects the retirement option provided in </w:t>
      </w:r>
      <w:r>
        <w:t>section 17851, subsection 8‑A</w:t>
      </w:r>
      <w:r>
        <w:t xml:space="preserve"> shall contribute to the State Employee and Teacher Retirement Program or have pick-up contributions made by the employer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§§23,48 (AMD). PL 1995, c. 624, §1 (RPR). PL 2007, c. 491, §126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§17711.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§17711.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§17711.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