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17802</w:t>
        <w:t xml:space="preserve">.  </w:t>
      </w:r>
      <w:r>
        <w:rPr>
          <w:b/>
        </w:rPr>
        <w:t xml:space="preserve">Eligibility for benefits</w:t>
      </w:r>
    </w:p>
    <w:p>
      <w:pPr>
        <w:jc w:val="both"/>
        <w:spacing w:before="100" w:after="100"/>
        <w:ind w:start="360"/>
        <w:ind w:firstLine="360"/>
      </w:pPr>
      <w:r>
        <w:rPr/>
      </w:r>
      <w:r>
        <w:rPr/>
      </w:r>
      <w:r>
        <w:t xml:space="preserve">Only members of the State Employee and Teacher Retirement Program, their spouses, surviving spouses, children, dependent children, parents or beneficiaries are eligible to receive benefits from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§17802. Eligibility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§17802. Eligibility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§17802. ELIGIBILITY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