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17807</w:t>
        <w:t xml:space="preserve">.  </w:t>
      </w:r>
      <w:r>
        <w:rPr>
          <w:b/>
        </w:rPr>
        <w:t xml:space="preserve">Persons retired under earlier law</w:t>
      </w:r>
    </w:p>
    <w:p>
      <w:pPr>
        <w:jc w:val="both"/>
        <w:spacing w:before="100" w:after="0"/>
        <w:ind w:start="360"/>
        <w:ind w:firstLine="360"/>
      </w:pPr>
      <w:r>
        <w:rPr>
          <w:b/>
        </w:rPr>
        <w:t>1</w:t>
        <w:t xml:space="preserve">.  </w:t>
      </w:r>
      <w:r>
        <w:rPr>
          <w:b/>
        </w:rPr>
        <w:t xml:space="preserve">Benefits continued.</w:t>
        <w:t xml:space="preserve"> </w:t>
      </w:r>
      <w:r>
        <w:t xml:space="preserve"> </w:t>
      </w:r>
      <w:r>
        <w:t xml:space="preserve">All benefits payable to former employees retired under the Public Laws of 1933, chapter 1, sections 227 to 233, as they existed immediately before July 1, 1942, shall be continued and paid in the future from the Retirement Allowance Fund at the full amounts stipulated under those sections before July 1, 1942.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Additional amounts.</w:t>
        <w:t xml:space="preserve"> </w:t>
      </w:r>
      <w:r>
        <w:t xml:space="preserve"> </w:t>
      </w:r>
      <w:r>
        <w:t xml:space="preserve">Any additional funds required to continue the benefits under </w:t>
      </w:r>
      <w:r>
        <w:t>subsection 1</w:t>
      </w:r>
      <w:r>
        <w:t xml:space="preserve"> shall be provided by an increase in the accrued liability contribution payable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§17807. Persons retired under earlier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§17807. Persons retired under earlier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§17807. PERSONS RETIRED UNDER EARLIER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