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§1786. EXEMPTION OF STATE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