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State Purchasing Agent may take into account any factors, information, sources of information and materials determined reliable and relevant by the State Purchasing Agent, as determined on a case-by-case basis.  The State Purchasing Agent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w:pPr>
        <w:jc w:val="both"/>
        <w:spacing w:before="100" w:after="0"/>
        <w:ind w:start="360"/>
        <w:ind w:firstLine="360"/>
      </w:pPr>
      <w:r>
        <w:rPr>
          <w:b/>
        </w:rPr>
        <w:t>2</w:t>
        <w:t xml:space="preserve">.  </w:t>
      </w:r>
      <w:r>
        <w:rPr>
          <w:b/>
        </w:rPr>
        <w:t xml:space="preserve">Determination by State Purchasing Agent.</w:t>
        <w:t xml:space="preserve"> </w:t>
      </w:r>
      <w:r>
        <w:t xml:space="preserve"> </w:t>
      </w:r>
      <w:r>
        <w:t xml:space="preserve">The determination of whether a party subject to a complaint is in compliance with the code of conduct is solely that of the State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State Purchasing Agent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§1825-R. Determinations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§1825-R. DETERMINATIONS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