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§1828. SALES OF SURPLUS PROPERTY TO EDUCATIONAL INSTITUTIONS, QUALIFYING NONPROFIT ORGANIZATIONS, FIRE DEPARTMENTS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