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his intention to purchase time credit under </w:t>
      </w:r>
      <w:r>
        <w:t>section 18308,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The person has not received a return of any contributions made under </w:t>
      </w:r>
      <w:r>
        <w:t>section 18308, subsection 4</w:t>
      </w:r>
      <w:r>
        <w:t xml:space="preserve"> or has deposited his contributions within 18 months of obtaining non-CETA employment with the employer under </w:t>
      </w:r>
      <w:r>
        <w:t>section 18308,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w:t>
      </w:r>
      <w:r>
        <w:t>section 18308, subsection 4</w:t>
      </w:r>
      <w:r>
        <w:t xml:space="preserve">, the person is entitled to credit for that portion of his CETA time which the amount of the deposit actually made bears to the total amount which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§18361.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§18361.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