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18522</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after September 30, 1989.</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§18522.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§18522.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§18522.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