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18606</w:t>
        <w:t xml:space="preserve">.  </w:t>
      </w:r>
      <w:r>
        <w:rPr>
          <w:b/>
        </w:rPr>
        <w:t xml:space="preserve">Termination of benefits</w:t>
      </w:r>
    </w:p>
    <w:p>
      <w:pPr>
        <w:jc w:val="both"/>
        <w:spacing w:before="100" w:after="100"/>
        <w:ind w:start="360"/>
        <w:ind w:firstLine="360"/>
      </w:pPr>
      <w:r>
        <w:rPr/>
      </w:r>
      <w:r>
        <w:rPr/>
      </w:r>
      <w:r>
        <w:t xml:space="preserve">The benefits under this article shall be paid to:</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Surviving spouse.</w:t>
        <w:t xml:space="preserve"> </w:t>
      </w:r>
      <w:r>
        <w:t xml:space="preserve"> </w:t>
      </w:r>
      <w:r>
        <w:t xml:space="preserve">The surviving spouse until he 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Dependent children.</w:t>
        <w:t xml:space="preserve"> </w:t>
      </w:r>
      <w:r>
        <w:t xml:space="preserve"> </w:t>
      </w:r>
      <w:r>
        <w:t xml:space="preserve">The dependent child or dependent children until they die or until they no longer meet the definition of "dependent child" under </w:t>
      </w:r>
      <w:r>
        <w:t>section 17001,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§18606. Termination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§18606. Termination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§18606. TERMINATION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