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§2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§10 (AMD).]</w:t>
      </w:r>
    </w:p>
    <w:p>
      <w:pPr>
        <w:jc w:val="both"/>
        <w:spacing w:before="100" w:after="0"/>
        <w:ind w:start="360"/>
        <w:ind w:firstLine="360"/>
      </w:pPr>
      <w:r>
        <w:rPr>
          <w:b/>
        </w:rPr>
        <w:t>2</w:t>
        <w:t xml:space="preserve">.  </w:t>
      </w:r>
      <w:r>
        <w:rPr>
          <w:b/>
        </w:rPr>
        <w:t xml:space="preserve">Widow or widower.</w:t>
        <w:t xml:space="preserve"> </w:t>
      </w:r>
      <w:r>
        <w:t xml:space="preserve"> </w:t>
      </w:r>
      <w:r>
        <w:t xml:space="preserve">Second, if no beneficiary qualifies under </w:t>
      </w:r>
      <w:r>
        <w:t>subsection 1</w:t>
      </w:r>
      <w:r>
        <w:t xml:space="preserve">, to the widow or widower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§10 (AMD). PL 2009, c. 515, §2 (AMD). PL 2009, c. 515,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§18657. Payments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§18657. Payments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§18657. PAYMENTS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