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191-B</w:t>
        <w:t xml:space="preserve">.  </w:t>
      </w:r>
      <w:r>
        <w:rPr>
          <w:b/>
        </w:rPr>
        <w:t xml:space="preserve">Qualification</w:t>
      </w:r>
    </w:p>
    <w:p>
      <w:pPr>
        <w:jc w:val="both"/>
        <w:spacing w:before="100" w:after="100"/>
        <w:ind w:start="360"/>
        <w:ind w:firstLine="360"/>
      </w:pPr>
      <w:r>
        <w:rPr/>
      </w:r>
      <w:r>
        <w:rPr/>
      </w:r>
      <w:r>
        <w:t xml:space="preserve">To serve as Attorney General, a person must be a member in good standing of the bar of the State.  For purposes of this section, a person is a "member in good standing of the bar of the State" if that person is admitted to the practice of law in this State, is presently registered with the Board of Overseers of the Bar as an active practitioner and has not been and is not currently disbarred or suspended from practice pursuant to </w:t>
      </w:r>
      <w:r>
        <w:t>Title 4, chapter 17, subchapter II</w:t>
      </w:r>
      <w:r>
        <w:t xml:space="preserve"> or Maine Bar Rule 7.2 or its successor.</w:t>
      </w:r>
      <w:r>
        <w:t xml:space="preserve">  </w:t>
      </w:r>
      <w:r xmlns:wp="http://schemas.openxmlformats.org/drawingml/2010/wordprocessingDrawing" xmlns:w15="http://schemas.microsoft.com/office/word/2012/wordml">
        <w:rPr>
          <w:rFonts w:ascii="Arial" w:hAnsi="Arial" w:cs="Arial"/>
          <w:sz w:val="22"/>
          <w:szCs w:val="22"/>
        </w:rPr>
        <w:t xml:space="preserve">[PL 1997,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§191-B.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§191-B.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§191-B.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