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Opinions on questions of law</w:t>
      </w:r>
    </w:p>
    <w:p>
      <w:pPr>
        <w:jc w:val="both"/>
        <w:spacing w:before="100" w:after="100"/>
        <w:ind w:start="360"/>
        <w:ind w:firstLine="360"/>
      </w:pPr>
      <w:r>
        <w:rPr/>
      </w:r>
      <w:r>
        <w:rPr/>
      </w:r>
      <w:r>
        <w:t xml:space="preserve">The Attorney General shall give his written opinion upon questions of law submitted to him by the Governor, by the head of any state department or any of the state agencies or by either branch of the Legislature or any members of the Legislature on legislative matters.</w:t>
      </w:r>
      <w:r>
        <w:t xml:space="preserve">  </w:t>
      </w:r>
      <w:r xmlns:wp="http://schemas.openxmlformats.org/drawingml/2010/wordprocessingDrawing" xmlns:w15="http://schemas.microsoft.com/office/word/2012/wordml">
        <w:rPr>
          <w:rFonts w:ascii="Arial" w:hAnsi="Arial" w:cs="Arial"/>
          <w:sz w:val="22"/>
          <w:szCs w:val="22"/>
        </w:rPr>
        <w:t xml:space="preserve">[PL 1975, c. 771,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§§11,12,14 (AMD). PL 1973, c. 711, §3 (AMD). PL 1975, c. 771,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 Opinions on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Opinions on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 OPINIONS ON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