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19501</w:t>
        <w:t xml:space="preserve">.  </w:t>
      </w:r>
      <w:r>
        <w:rPr>
          <w:b/>
        </w:rPr>
        <w:t xml:space="preserve">Policy</w:t>
      </w:r>
    </w:p>
    <w:p>
      <w:pPr>
        <w:jc w:val="both"/>
        <w:spacing w:before="100" w:after="100"/>
        <w:ind w:start="360"/>
        <w:ind w:firstLine="360"/>
      </w:pPr>
      <w:r>
        <w:rPr/>
      </w:r>
      <w:r>
        <w:rPr/>
      </w:r>
      <w:r>
        <w:t xml:space="preserve">It is the policy of the State to ensure that the legal and human rights of all persons with disabilities residing in the State are protected through the establishment of a protection and advocacy system pursuant to 29 United States Code, </w:t>
      </w:r>
      <w:r>
        <w:t>Section 794(e)</w:t>
      </w:r>
      <w:r>
        <w:t xml:space="preserve">, 42 United States Code, </w:t>
      </w:r>
      <w:r>
        <w:t>Section 6042</w:t>
      </w:r>
      <w:r>
        <w:t xml:space="preserve"> et seq., as recodified, and </w:t>
      </w:r>
      <w:r>
        <w:t>Section 10801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2001, c. 357,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837, §1 (NEW). PL 2001, c. 357,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§19501.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§19501.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§19501.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