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§200-G. STRIP SEARCHES AND BODY CAVITY SEARCHES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