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20055</w:t>
        <w:t xml:space="preserve">.  </w:t>
      </w:r>
      <w:r>
        <w:rPr>
          <w:b/>
        </w:rPr>
        <w:t xml:space="preserve">Hub-and-spoke model</w:t>
      </w:r>
    </w:p>
    <w:p>
      <w:pPr>
        <w:jc w:val="both"/>
        <w:spacing w:before="100" w:after="100"/>
        <w:ind w:start="360"/>
        <w:ind w:firstLine="360"/>
      </w:pPr>
      <w:r>
        <w:rPr/>
      </w:r>
      <w:r>
        <w:rPr/>
      </w:r>
      <w:r>
        <w:t xml:space="preserve">No later than October 1, 2018, the department shall ensure that a continuum of evidence-based treatment and recovery support services for opioid use disorder is accessible to all people in this State through contracts with hubs and spokes.  Hub providers may refer patients to spokes when clinically appropriate, and spokes may refer patients to hubs when clinically appropriate. The department shall provide funds to hubs and spokes to support the development of treatment capacity.  The department shall also provide funds to hubs and spokes for treatment, including medication, for individuals who lack insurance or the ability to pay for treatment.  The department shall provide funds to support recovery support services for individuals receiving treatment from hubs and spokes. The department shall ensure that individuals have access to the appropriate levels of care that meet the individuals' need, as determined by an assessment by a treating clinician.  A hub is eligible to receive funding under this section only if the hub has the capacity to assess and treat or refer patients with multiple behavioral health diagnoses.  A hub shall provide or contract for comprehensive services including intensive outpatient programs and integrated medication assisted treatment for individuals with acute needs.  A hub shall provide or coordinate with recovery support services.</w:t>
      </w:r>
      <w:r>
        <w:t xml:space="preserve">  </w:t>
      </w:r>
      <w:r xmlns:wp="http://schemas.openxmlformats.org/drawingml/2010/wordprocessingDrawing" xmlns:w15="http://schemas.microsoft.com/office/word/2012/wordml">
        <w:rPr>
          <w:rFonts w:ascii="Arial" w:hAnsi="Arial" w:cs="Arial"/>
          <w:sz w:val="22"/>
          <w:szCs w:val="22"/>
        </w:rPr>
        <w:t xml:space="preserve">[PL 2017, c. 460, Pt. G,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G,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§20055. Hub-and-spoke model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§20055. Hub-and-spoke model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§20055. HUB-AND-SPOKE MODEL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