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20072-A</w:t>
        <w:t xml:space="preserve">.  </w:t>
      </w:r>
      <w:r>
        <w:rPr>
          <w:b/>
        </w:rPr>
        <w:t xml:space="preserve">Funding</w:t>
      </w:r>
    </w:p>
    <w:p>
      <w:pPr>
        <w:jc w:val="both"/>
        <w:spacing w:before="100" w:after="100"/>
        <w:ind w:start="360"/>
        <w:ind w:firstLine="360"/>
      </w:pPr>
      <w:r>
        <w:rPr/>
      </w:r>
      <w:r>
        <w:rPr/>
      </w:r>
      <w:r>
        <w:t xml:space="preserve">General Fund appropriations for the Driver Education and Evaluation Programs may not exceed $1,700,000 in any fiscal year.</w:t>
      </w:r>
      <w:r>
        <w:t xml:space="preserve">  </w:t>
      </w:r>
      <w:r xmlns:wp="http://schemas.openxmlformats.org/drawingml/2010/wordprocessingDrawing" xmlns:w15="http://schemas.microsoft.com/office/word/2012/wordml">
        <w:rPr>
          <w:rFonts w:ascii="Arial" w:hAnsi="Arial" w:cs="Arial"/>
          <w:sz w:val="22"/>
          <w:szCs w:val="22"/>
        </w:rPr>
        <w:t xml:space="preserve">[PL 2009, c. 462, Pt. 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462, Pt. J,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§20072-A.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§20072-A.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§20072-A.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