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25006</w:t>
        <w:t xml:space="preserve">.  </w:t>
      </w:r>
      <w:r>
        <w:rPr>
          <w:b/>
        </w:rPr>
        <w:t xml:space="preserve">Department input</w:t>
      </w:r>
    </w:p>
    <w:p>
      <w:pPr>
        <w:jc w:val="both"/>
        <w:spacing w:before="100" w:after="100"/>
        <w:ind w:start="360"/>
        <w:ind w:firstLine="360"/>
      </w:pPr>
      <w:r>
        <w:rPr/>
      </w:r>
      <w:r>
        <w:rPr/>
      </w:r>
      <w:r>
        <w:t xml:space="preserve">The commission shall seek input from the Department of Labor, the Department of Health and Human Services, the Department of Economic and Community Development and the Department of Education, as well as any other experts,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§25006. Department input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§25006. Department input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§25006. DEPARTMENT INPUT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