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25011</w:t>
        <w:t xml:space="preserve">.  </w:t>
      </w:r>
      <w:r>
        <w:rPr>
          <w:b/>
        </w:rPr>
        <w:t xml:space="preserve">Executive director; staff; duties</w:t>
      </w:r>
    </w:p>
    <w:p>
      <w:pPr>
        <w:jc w:val="both"/>
        <w:spacing w:before="100" w:after="100"/>
        <w:ind w:start="360"/>
        <w:ind w:firstLine="360"/>
      </w:pPr>
      <w:r>
        <w:rPr/>
      </w:r>
      <w:r>
        <w:rPr/>
      </w:r>
      <w:r>
        <w:t xml:space="preserve">The commission shall select an individual to serve as the executive director of the commission.  The executive director shall hire appropriate staff to assist in carrying out the duties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436,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436,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§25011. Executive director; staff;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§25011. Executive director; staff;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§25011. EXECUTIVE DIRECTOR; STAFF;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