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3360-O</w:t>
        <w:t xml:space="preserve">.  </w:t>
      </w:r>
      <w:r>
        <w:rPr>
          <w:b/>
        </w:rPr>
        <w:t xml:space="preserve">Duties</w:t>
      </w:r>
    </w:p>
    <w:p>
      <w:pPr>
        <w:jc w:val="both"/>
        <w:spacing w:before="100" w:after="100"/>
        <w:ind w:start="360"/>
        <w:ind w:firstLine="360"/>
      </w:pPr>
      <w:r>
        <w:rPr/>
      </w:r>
      <w:r>
        <w:rPr/>
      </w:r>
      <w:r>
        <w:t xml:space="preserve">The board shall advise and assist the State in promoting and supporting the statewide creation, growth and sustainability of sexual assault forensic examiner programs.  The board shall provide advice and assistance regarding training, technical assistance, standards and resources to the sexual assault forensic examiner programs.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100"/>
        <w:ind w:start="360"/>
        <w:ind w:firstLine="360"/>
      </w:pPr>
      <w:r>
        <w:rPr/>
      </w:r>
      <w:r>
        <w:rPr/>
      </w:r>
      <w:r>
        <w:t xml:space="preserve">The board may establish prerequisites applicable to persons who wish to participate in sexual assault forensic examiner training and authorize the issuance of certificates to those who complete the training.  The process of sexual assault forensic examiner training and issuance of certificates under this section does not constitute a license or licensing action under </w:t>
      </w:r>
      <w:r>
        <w:t>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2013,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