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Subchapter 5</w:t>
      </w:r>
      <w:r>
        <w:t xml:space="preserve"> (public accommodations) with regard to public entities only.</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w:pPr>
        <w:jc w:val="both"/>
        <w:spacing w:before="100" w:after="0"/>
        <w:ind w:start="360"/>
      </w:pPr>
      <w:r>
        <w:rPr/>
      </w:r>
      <w:r>
        <w:rPr/>
      </w:r>
      <w:r>
        <w:t xml:space="preserve">For purposes of </w:t>
      </w:r>
      <w:r>
        <w:t>subchapter 5</w:t>
      </w:r>
      <w:r>
        <w:t xml:space="preserve">, "qualified individual with a disability" means an individual with a disability who, with or without reasonable modification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10, §5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Internal Revenue Code, 26 United States Code, Section 511(a) is not covered by the exemptions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