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Rulemaking; review</w:t>
      </w:r>
    </w:p>
    <w:p>
      <w:pPr>
        <w:jc w:val="both"/>
        <w:spacing w:before="100" w:after="100"/>
        <w:ind w:start="360"/>
        <w:ind w:firstLine="360"/>
      </w:pPr>
      <w:r>
        <w:rPr/>
      </w:r>
      <w:r>
        <w:rPr/>
      </w:r>
      <w:r>
        <w:t xml:space="preserve">The Commissioner of Education has joint rule-making authority with the commission to effectuate this subchapter. On or before January 15, 2024 and at least once every 10 years thereafter, the Commissioner of Education and the commission shall jointly review rules adopted pursuant to this section and, if the Commissioner of Education and the commission determine that those rules must be amended to reflect changes in statute and best practices to ensure an individual's right to freedom from discrimination in education, the Commissioner of Education and the commission shall as soon as practicable initiate rulemaking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PL 2023,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§4603. Rulemaking;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Rulemaking;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§4603. RULEMAKING;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