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4684-C</w:t>
        <w:t xml:space="preserve">.  </w:t>
      </w:r>
      <w:r>
        <w:rPr>
          <w:b/>
        </w:rPr>
        <w:t xml:space="preserve">Civil rights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"Civil rights officer" means a law enforcement officer who has received special training approved by the Attorney General in identifying and investigating civil rights violations.</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B</w:t>
        <w:t xml:space="preserve">.  </w:t>
      </w:r>
      <w:r>
        <w:rPr/>
      </w:r>
      <w:r>
        <w:t xml:space="preserve">"Law enforcement agency" means an agency in the State charged with enforcement of state, county, municipal or federal laws or laws of a federally recognized Indian tribe, with the prevention, detection or investigation of criminal, immigration or customs laws or with managing custody of detained persons in the State and includes, but is not limited to, a municipal police department, a sheriff's department, the State Police, a university or college police department and the Department of Public Safety.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w:pPr>
        <w:jc w:val="both"/>
        <w:spacing w:before="100" w:after="0"/>
        <w:ind w:start="720"/>
      </w:pPr>
      <w:r>
        <w:rPr/>
        <w:t>C</w:t>
        <w:t xml:space="preserve">.  </w:t>
      </w:r>
      <w:r>
        <w:rPr/>
      </w:r>
      <w:r>
        <w:t xml:space="preserve">"Law enforcement officer" means a state, county or municipal official or an official of a federally recognized Indian tribe responsible for enforcing criminal, immigration or customs laws, including, but not limited to, a law enforcement officer who possesses a valid certificate issued by the Board of Trustees of the Maine Criminal Justice Academy pursuant to </w:t>
      </w:r>
      <w:r>
        <w:t>Title 25, section 2803‑A</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w:pPr>
        <w:jc w:val="both"/>
        <w:spacing w:before="100" w:after="0"/>
        <w:ind w:start="360"/>
        <w:ind w:firstLine="360"/>
      </w:pPr>
      <w:r>
        <w:rPr>
          <w:b/>
        </w:rPr>
        <w:t>2</w:t>
        <w:t xml:space="preserve">.  </w:t>
      </w:r>
      <w:r>
        <w:rPr>
          <w:b/>
        </w:rPr>
        <w:t xml:space="preserve">Required civil rights officer.</w:t>
        <w:t xml:space="preserve"> </w:t>
      </w:r>
      <w:r>
        <w:t xml:space="preserve"> </w:t>
      </w:r>
      <w:r>
        <w:t xml:space="preserve">A law enforcement agency shall select, assign and secure training for a civil rights officer, notify the Attorney General of the name and contact information for the civil rights officer and notify the Attorney General of any change in assignment of the civil rights officer as soon as practicable after the change is made.  The law enforcement agency shall make the contact information for the civil rights officer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§4684-C. Civil rights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§4684-C. Civil rights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§4684-C. CIVIL RIGHTS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